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784A" w14:textId="3FA641D7" w:rsidR="003711AC" w:rsidRPr="00C52871" w:rsidRDefault="003711AC" w:rsidP="003711AC">
      <w:pPr>
        <w:jc w:val="both"/>
        <w:rPr>
          <w:rFonts w:asciiTheme="minorHAnsi" w:eastAsiaTheme="minorHAnsi" w:hAnsiTheme="minorHAnsi" w:cs="Arial"/>
          <w:color w:val="0070C0"/>
          <w:sz w:val="26"/>
          <w:szCs w:val="26"/>
        </w:rPr>
      </w:pPr>
      <w:r w:rsidRPr="00811C75">
        <w:rPr>
          <w:rFonts w:asciiTheme="minorHAnsi" w:eastAsiaTheme="minorHAnsi" w:hAnsiTheme="minorHAnsi" w:cs="Arial"/>
          <w:color w:val="0070C0"/>
          <w:sz w:val="26"/>
          <w:szCs w:val="26"/>
        </w:rPr>
        <w:t xml:space="preserve">                                                  </w:t>
      </w:r>
      <w:r w:rsidRPr="00811C75">
        <w:rPr>
          <w:rFonts w:asciiTheme="minorHAnsi" w:eastAsiaTheme="minorHAnsi" w:hAnsiTheme="minorHAnsi" w:cs="Arial"/>
          <w:color w:val="0070C0"/>
          <w:sz w:val="26"/>
          <w:szCs w:val="26"/>
        </w:rPr>
        <w:tab/>
      </w:r>
      <w:r w:rsidRPr="00811C75">
        <w:rPr>
          <w:rFonts w:asciiTheme="minorHAnsi" w:eastAsiaTheme="minorHAnsi" w:hAnsiTheme="minorHAnsi" w:cs="Arial"/>
          <w:color w:val="0070C0"/>
          <w:sz w:val="26"/>
          <w:szCs w:val="26"/>
        </w:rPr>
        <w:tab/>
      </w:r>
      <w:r>
        <w:rPr>
          <w:rFonts w:asciiTheme="minorHAnsi" w:eastAsiaTheme="minorHAnsi" w:hAnsiTheme="minorHAnsi" w:cs="Arial"/>
          <w:color w:val="0070C0"/>
          <w:sz w:val="26"/>
          <w:szCs w:val="26"/>
          <w:lang w:val="en-US"/>
        </w:rPr>
        <w:t>TERMS AND CONDITIONS</w:t>
      </w:r>
    </w:p>
    <w:p w14:paraId="6DF6335E" w14:textId="77777777" w:rsidR="00C52871" w:rsidRPr="00C52871" w:rsidRDefault="00C52871" w:rsidP="00C52871">
      <w:pPr>
        <w:pStyle w:val="Default"/>
        <w:jc w:val="center"/>
        <w:rPr>
          <w:rFonts w:asciiTheme="minorHAnsi" w:hAnsiTheme="minorHAnsi"/>
          <w:color w:val="0070C0"/>
          <w:sz w:val="26"/>
          <w:szCs w:val="26"/>
          <w:lang w:val="en-GB"/>
        </w:rPr>
      </w:pPr>
      <w:r w:rsidRPr="00C52871">
        <w:rPr>
          <w:rFonts w:asciiTheme="minorHAnsi" w:hAnsiTheme="minorHAnsi"/>
          <w:color w:val="0070C0"/>
          <w:sz w:val="26"/>
          <w:szCs w:val="26"/>
          <w:lang w:val="en-GB"/>
        </w:rPr>
        <w:t>Aegean Mastercard Card Promotion Campaign</w:t>
      </w:r>
    </w:p>
    <w:p w14:paraId="77C33663" w14:textId="77777777" w:rsidR="003711AC" w:rsidRPr="00C52871" w:rsidRDefault="003711AC" w:rsidP="003711AC">
      <w:pPr>
        <w:pStyle w:val="Default"/>
        <w:jc w:val="center"/>
        <w:rPr>
          <w:rFonts w:asciiTheme="minorHAnsi" w:hAnsiTheme="minorHAnsi"/>
          <w:color w:val="0070C0"/>
          <w:sz w:val="26"/>
          <w:szCs w:val="26"/>
          <w:lang w:val="en-GB"/>
        </w:rPr>
      </w:pPr>
      <w:r w:rsidRPr="00C52871">
        <w:rPr>
          <w:rFonts w:asciiTheme="minorHAnsi" w:hAnsiTheme="minorHAnsi"/>
          <w:color w:val="0070C0"/>
          <w:sz w:val="26"/>
          <w:szCs w:val="26"/>
          <w:lang w:val="en-GB"/>
        </w:rPr>
        <w:t xml:space="preserve"> </w:t>
      </w:r>
    </w:p>
    <w:p w14:paraId="7030476F" w14:textId="36104031" w:rsidR="009F75D7" w:rsidRPr="00311C9F" w:rsidRDefault="009F75D7" w:rsidP="009F75D7">
      <w:pPr>
        <w:pStyle w:val="ListParagraph"/>
        <w:numPr>
          <w:ilvl w:val="0"/>
          <w:numId w:val="1"/>
        </w:numPr>
        <w:spacing w:line="300" w:lineRule="atLeast"/>
        <w:rPr>
          <w:rFonts w:ascii="Segoe UI" w:hAnsi="Segoe UI" w:cs="Segoe UI"/>
          <w:b/>
          <w:bCs/>
          <w:sz w:val="21"/>
          <w:szCs w:val="21"/>
        </w:rPr>
      </w:pPr>
      <w:r w:rsidRPr="00311C9F">
        <w:rPr>
          <w:rFonts w:ascii="Segoe UI" w:hAnsi="Segoe UI" w:cs="Segoe UI"/>
          <w:sz w:val="21"/>
          <w:szCs w:val="21"/>
        </w:rPr>
        <w:t xml:space="preserve">Eligibility to participate in the </w:t>
      </w:r>
      <w:r w:rsidRPr="00311C9F">
        <w:rPr>
          <w:rStyle w:val="Strong"/>
          <w:rFonts w:ascii="Segoe UI" w:eastAsiaTheme="majorEastAsia" w:hAnsi="Segoe UI" w:cs="Segoe UI"/>
          <w:b w:val="0"/>
          <w:bCs w:val="0"/>
          <w:sz w:val="21"/>
          <w:szCs w:val="21"/>
        </w:rPr>
        <w:t>Aegean Mastercard Promotion Campaign</w:t>
      </w:r>
      <w:r w:rsidRPr="00311C9F">
        <w:rPr>
          <w:rFonts w:ascii="Segoe UI" w:hAnsi="Segoe UI" w:cs="Segoe UI"/>
          <w:sz w:val="21"/>
          <w:szCs w:val="21"/>
        </w:rPr>
        <w:t xml:space="preserve"> (the “Campaign”) is open to customers of </w:t>
      </w:r>
      <w:r w:rsidRPr="00311C9F">
        <w:rPr>
          <w:rStyle w:val="Strong"/>
          <w:rFonts w:ascii="Segoe UI" w:eastAsiaTheme="majorEastAsia" w:hAnsi="Segoe UI" w:cs="Segoe UI"/>
          <w:b w:val="0"/>
          <w:bCs w:val="0"/>
          <w:sz w:val="21"/>
          <w:szCs w:val="21"/>
        </w:rPr>
        <w:t>Bank of Cyprus Public Company Ltd</w:t>
      </w:r>
      <w:r w:rsidRPr="00311C9F">
        <w:rPr>
          <w:rFonts w:ascii="Segoe UI" w:hAnsi="Segoe UI" w:cs="Segoe UI"/>
          <w:sz w:val="21"/>
          <w:szCs w:val="21"/>
        </w:rPr>
        <w:t xml:space="preserve"> (the “Bank”) who obtain an </w:t>
      </w:r>
      <w:r w:rsidRPr="00311C9F">
        <w:rPr>
          <w:rStyle w:val="Strong"/>
          <w:rFonts w:ascii="Segoe UI" w:eastAsiaTheme="majorEastAsia" w:hAnsi="Segoe UI" w:cs="Segoe UI"/>
          <w:b w:val="0"/>
          <w:bCs w:val="0"/>
          <w:sz w:val="21"/>
          <w:szCs w:val="21"/>
        </w:rPr>
        <w:t>Aegean Mastercard</w:t>
      </w:r>
      <w:r w:rsidRPr="00311C9F">
        <w:rPr>
          <w:rFonts w:ascii="Segoe UI" w:hAnsi="Segoe UI" w:cs="Segoe UI"/>
          <w:sz w:val="21"/>
          <w:szCs w:val="21"/>
        </w:rPr>
        <w:t xml:space="preserve"> (the “Card”) from the Bank during the period </w:t>
      </w:r>
      <w:r w:rsidRPr="00311C9F">
        <w:rPr>
          <w:rStyle w:val="Strong"/>
          <w:rFonts w:ascii="Segoe UI" w:eastAsiaTheme="majorEastAsia" w:hAnsi="Segoe UI" w:cs="Segoe UI"/>
          <w:b w:val="0"/>
          <w:bCs w:val="0"/>
          <w:sz w:val="21"/>
          <w:szCs w:val="21"/>
        </w:rPr>
        <w:t>05/05/2026 – 30/06/2026</w:t>
      </w:r>
      <w:r w:rsidRPr="00311C9F">
        <w:rPr>
          <w:rFonts w:ascii="Segoe UI" w:hAnsi="Segoe UI" w:cs="Segoe UI"/>
          <w:b/>
          <w:bCs/>
          <w:sz w:val="21"/>
          <w:szCs w:val="21"/>
        </w:rPr>
        <w:t xml:space="preserve"> </w:t>
      </w:r>
      <w:r w:rsidRPr="00311C9F">
        <w:rPr>
          <w:rFonts w:ascii="Segoe UI" w:hAnsi="Segoe UI" w:cs="Segoe UI"/>
          <w:sz w:val="21"/>
          <w:szCs w:val="21"/>
        </w:rPr>
        <w:t xml:space="preserve">and who have </w:t>
      </w:r>
      <w:r w:rsidRPr="00311C9F">
        <w:rPr>
          <w:rStyle w:val="Strong"/>
          <w:rFonts w:ascii="Segoe UI" w:eastAsiaTheme="majorEastAsia" w:hAnsi="Segoe UI" w:cs="Segoe UI"/>
          <w:b w:val="0"/>
          <w:bCs w:val="0"/>
          <w:sz w:val="21"/>
          <w:szCs w:val="21"/>
        </w:rPr>
        <w:t>reached the age of 18</w:t>
      </w:r>
      <w:r w:rsidRPr="00311C9F">
        <w:rPr>
          <w:rFonts w:ascii="Segoe UI" w:hAnsi="Segoe UI" w:cs="Segoe UI"/>
          <w:sz w:val="21"/>
          <w:szCs w:val="21"/>
        </w:rPr>
        <w:t xml:space="preserve"> at the time of application and issuance of the Card (the “Holders” or “Cardholders” as defined in the Bank’s Card Terms and Conditions), </w:t>
      </w:r>
      <w:r w:rsidRPr="00311C9F">
        <w:rPr>
          <w:rStyle w:val="Strong"/>
          <w:rFonts w:ascii="Segoe UI" w:eastAsiaTheme="majorEastAsia" w:hAnsi="Segoe UI" w:cs="Segoe UI"/>
          <w:b w:val="0"/>
          <w:bCs w:val="0"/>
          <w:sz w:val="21"/>
          <w:szCs w:val="21"/>
        </w:rPr>
        <w:t>excluding those expressly excluded below</w:t>
      </w:r>
      <w:r w:rsidRPr="00311C9F">
        <w:rPr>
          <w:rFonts w:ascii="Segoe UI" w:hAnsi="Segoe UI" w:cs="Segoe UI"/>
          <w:b/>
          <w:bCs/>
          <w:sz w:val="21"/>
          <w:szCs w:val="21"/>
        </w:rPr>
        <w:t>.</w:t>
      </w:r>
    </w:p>
    <w:p w14:paraId="0711A7A1" w14:textId="77777777" w:rsidR="003711AC" w:rsidRPr="005A07EE" w:rsidRDefault="003711AC" w:rsidP="003711AC">
      <w:pPr>
        <w:pStyle w:val="ListParagraph"/>
        <w:jc w:val="both"/>
        <w:rPr>
          <w:rFonts w:ascii="Calibri" w:hAnsi="Calibri" w:cs="Calibri"/>
          <w:sz w:val="22"/>
          <w:szCs w:val="22"/>
          <w:lang w:val="el-GR" w:eastAsia="el-GR"/>
        </w:rPr>
      </w:pPr>
    </w:p>
    <w:p w14:paraId="7116E003" w14:textId="6122C4A9" w:rsidR="00D8751C" w:rsidRPr="00D8751C" w:rsidRDefault="00D8751C" w:rsidP="00D8751C">
      <w:pPr>
        <w:pStyle w:val="ListParagraph"/>
        <w:numPr>
          <w:ilvl w:val="0"/>
          <w:numId w:val="1"/>
        </w:numPr>
        <w:spacing w:line="300" w:lineRule="atLeast"/>
        <w:rPr>
          <w:rFonts w:ascii="Segoe UI" w:hAnsi="Segoe UI" w:cs="Segoe UI"/>
          <w:sz w:val="21"/>
          <w:szCs w:val="21"/>
        </w:rPr>
      </w:pPr>
      <w:r w:rsidRPr="00D8751C">
        <w:rPr>
          <w:rFonts w:ascii="Segoe UI" w:hAnsi="Segoe UI" w:cs="Segoe UI"/>
          <w:sz w:val="21"/>
          <w:szCs w:val="21"/>
        </w:rPr>
        <w:t>Please note that the Campaign will be conducted on a first</w:t>
      </w:r>
      <w:r w:rsidRPr="00D8751C">
        <w:rPr>
          <w:rFonts w:ascii="Segoe UI" w:hAnsi="Segoe UI" w:cs="Segoe UI"/>
          <w:sz w:val="21"/>
          <w:szCs w:val="21"/>
        </w:rPr>
        <w:noBreakHyphen/>
        <w:t>come, first</w:t>
      </w:r>
      <w:r w:rsidRPr="00D8751C">
        <w:rPr>
          <w:rFonts w:ascii="Segoe UI" w:hAnsi="Segoe UI" w:cs="Segoe UI"/>
          <w:sz w:val="21"/>
          <w:szCs w:val="21"/>
        </w:rPr>
        <w:noBreakHyphen/>
        <w:t>served basis and only the first 3,000 Bank customers who apply for the Card will be eligible to receive, in addition to the Card benefits, one of the gifts listed below, also on a priority basis, as expressly described below, provided that they carry out at least one transaction with their Card within one (1) month after the end of the Campaign, i.e. by 31/07/2026 (the “Transaction”), in Cyprus or abroad (the “Beneficiaries”), excluding transactions expressly excluded below.</w:t>
      </w:r>
    </w:p>
    <w:p w14:paraId="1F41E1ED" w14:textId="77777777" w:rsidR="003711AC" w:rsidRPr="00811C75" w:rsidRDefault="003711AC" w:rsidP="003711AC">
      <w:pPr>
        <w:pStyle w:val="ListParagraph"/>
        <w:jc w:val="both"/>
        <w:rPr>
          <w:rFonts w:ascii="Calibri" w:hAnsi="Calibri" w:cs="Calibri"/>
          <w:sz w:val="22"/>
          <w:szCs w:val="22"/>
          <w:lang w:eastAsia="el-GR"/>
        </w:rPr>
      </w:pPr>
    </w:p>
    <w:p w14:paraId="08DF2BFC" w14:textId="42596143" w:rsidR="00C2499E" w:rsidRPr="00C2499E" w:rsidRDefault="00C2499E" w:rsidP="00C2499E">
      <w:pPr>
        <w:pStyle w:val="ListParagraph"/>
        <w:numPr>
          <w:ilvl w:val="0"/>
          <w:numId w:val="3"/>
        </w:numPr>
        <w:spacing w:line="300" w:lineRule="atLeast"/>
        <w:rPr>
          <w:rFonts w:ascii="Segoe UI" w:hAnsi="Segoe UI" w:cs="Segoe UI"/>
          <w:sz w:val="21"/>
          <w:szCs w:val="21"/>
        </w:rPr>
      </w:pPr>
      <w:r w:rsidRPr="00C2499E">
        <w:rPr>
          <w:rFonts w:ascii="Segoe UI" w:hAnsi="Segoe UI" w:cs="Segoe UI"/>
          <w:sz w:val="21"/>
          <w:szCs w:val="21"/>
        </w:rPr>
        <w:t xml:space="preserve">The first 2,000 customers will receive an American Tourister Spinner cabin </w:t>
      </w:r>
      <w:r w:rsidR="00811C75">
        <w:rPr>
          <w:rFonts w:ascii="Segoe UI" w:hAnsi="Segoe UI" w:cs="Segoe UI"/>
          <w:sz w:val="21"/>
          <w:szCs w:val="21"/>
        </w:rPr>
        <w:t>luggage</w:t>
      </w:r>
      <w:r w:rsidRPr="00C2499E">
        <w:rPr>
          <w:rFonts w:ascii="Segoe UI" w:hAnsi="Segoe UI" w:cs="Segoe UI"/>
          <w:sz w:val="21"/>
          <w:szCs w:val="21"/>
        </w:rPr>
        <w:t xml:space="preserve"> (4 wheels), </w:t>
      </w:r>
      <w:proofErr w:type="spellStart"/>
      <w:r w:rsidRPr="00C2499E">
        <w:rPr>
          <w:rFonts w:ascii="Segoe UI" w:hAnsi="Segoe UI" w:cs="Segoe UI"/>
          <w:sz w:val="21"/>
          <w:szCs w:val="21"/>
        </w:rPr>
        <w:t>Jetdriver</w:t>
      </w:r>
      <w:proofErr w:type="spellEnd"/>
      <w:r w:rsidRPr="00C2499E">
        <w:rPr>
          <w:rFonts w:ascii="Segoe UI" w:hAnsi="Segoe UI" w:cs="Segoe UI"/>
          <w:sz w:val="21"/>
          <w:szCs w:val="21"/>
        </w:rPr>
        <w:t xml:space="preserve"> 3.0 55cm, with a value of €139 (the “Suitcase”), provided by the</w:t>
      </w:r>
      <w:r w:rsidR="001B505B">
        <w:rPr>
          <w:rFonts w:ascii="Segoe UI" w:hAnsi="Segoe UI" w:cs="Segoe UI"/>
          <w:sz w:val="21"/>
          <w:szCs w:val="21"/>
        </w:rPr>
        <w:t xml:space="preserve"> card reward</w:t>
      </w:r>
      <w:r w:rsidRPr="00C2499E">
        <w:rPr>
          <w:rFonts w:ascii="Segoe UI" w:hAnsi="Segoe UI" w:cs="Segoe UI"/>
          <w:sz w:val="21"/>
          <w:szCs w:val="21"/>
        </w:rPr>
        <w:t xml:space="preserve"> </w:t>
      </w:r>
      <w:r w:rsidR="00594682">
        <w:rPr>
          <w:rFonts w:ascii="Segoe UI" w:hAnsi="Segoe UI" w:cs="Segoe UI"/>
          <w:sz w:val="21"/>
          <w:szCs w:val="21"/>
        </w:rPr>
        <w:t xml:space="preserve">antamivi scheme </w:t>
      </w:r>
      <w:r w:rsidRPr="00C2499E">
        <w:rPr>
          <w:rFonts w:ascii="Segoe UI" w:hAnsi="Segoe UI" w:cs="Segoe UI"/>
          <w:sz w:val="21"/>
          <w:szCs w:val="21"/>
        </w:rPr>
        <w:t>partner, Costas Theodorou Ltd.</w:t>
      </w:r>
      <w:r w:rsidRPr="00C2499E">
        <w:rPr>
          <w:rFonts w:ascii="Segoe UI" w:hAnsi="Segoe UI" w:cs="Segoe UI"/>
          <w:sz w:val="21"/>
          <w:szCs w:val="21"/>
        </w:rPr>
        <w:br/>
        <w:t>or</w:t>
      </w:r>
      <w:r w:rsidRPr="00C2499E">
        <w:rPr>
          <w:rFonts w:ascii="Segoe UI" w:hAnsi="Segoe UI" w:cs="Segoe UI"/>
          <w:sz w:val="21"/>
          <w:szCs w:val="21"/>
        </w:rPr>
        <w:br/>
        <w:t xml:space="preserve">ii. The next 1,000 customers (following the first 2,000) will receive an American Tourister Spinner cabin </w:t>
      </w:r>
      <w:r w:rsidR="003A21FF">
        <w:rPr>
          <w:rFonts w:ascii="Segoe UI" w:hAnsi="Segoe UI" w:cs="Segoe UI"/>
          <w:sz w:val="21"/>
          <w:szCs w:val="21"/>
        </w:rPr>
        <w:t>luggage</w:t>
      </w:r>
      <w:r w:rsidRPr="00C2499E">
        <w:rPr>
          <w:rFonts w:ascii="Segoe UI" w:hAnsi="Segoe UI" w:cs="Segoe UI"/>
          <w:sz w:val="21"/>
          <w:szCs w:val="21"/>
        </w:rPr>
        <w:t xml:space="preserve"> (4 wheels), 55cm, with a value of €129 (the “Suitcase”), </w:t>
      </w:r>
      <w:r w:rsidR="00B82875" w:rsidRPr="00C2499E">
        <w:rPr>
          <w:rFonts w:ascii="Segoe UI" w:hAnsi="Segoe UI" w:cs="Segoe UI"/>
          <w:sz w:val="21"/>
          <w:szCs w:val="21"/>
        </w:rPr>
        <w:t>provided by the</w:t>
      </w:r>
      <w:r w:rsidR="00B82875">
        <w:rPr>
          <w:rFonts w:ascii="Segoe UI" w:hAnsi="Segoe UI" w:cs="Segoe UI"/>
          <w:sz w:val="21"/>
          <w:szCs w:val="21"/>
        </w:rPr>
        <w:t xml:space="preserve"> card reward</w:t>
      </w:r>
      <w:r w:rsidR="00B82875" w:rsidRPr="00C2499E">
        <w:rPr>
          <w:rFonts w:ascii="Segoe UI" w:hAnsi="Segoe UI" w:cs="Segoe UI"/>
          <w:sz w:val="21"/>
          <w:szCs w:val="21"/>
        </w:rPr>
        <w:t xml:space="preserve"> </w:t>
      </w:r>
      <w:r w:rsidR="00B82875">
        <w:rPr>
          <w:rFonts w:ascii="Segoe UI" w:hAnsi="Segoe UI" w:cs="Segoe UI"/>
          <w:sz w:val="21"/>
          <w:szCs w:val="21"/>
        </w:rPr>
        <w:t xml:space="preserve">antamivi scheme </w:t>
      </w:r>
      <w:r w:rsidR="00B82875" w:rsidRPr="00C2499E">
        <w:rPr>
          <w:rFonts w:ascii="Segoe UI" w:hAnsi="Segoe UI" w:cs="Segoe UI"/>
          <w:sz w:val="21"/>
          <w:szCs w:val="21"/>
        </w:rPr>
        <w:t>partner</w:t>
      </w:r>
      <w:r w:rsidRPr="00C2499E">
        <w:rPr>
          <w:rFonts w:ascii="Segoe UI" w:hAnsi="Segoe UI" w:cs="Segoe UI"/>
          <w:sz w:val="21"/>
          <w:szCs w:val="21"/>
        </w:rPr>
        <w:t>, Costas Theodorou Ltd.</w:t>
      </w:r>
    </w:p>
    <w:p w14:paraId="575CAF64" w14:textId="77777777" w:rsidR="009D369A" w:rsidRDefault="009D369A" w:rsidP="003711AC">
      <w:pPr>
        <w:pStyle w:val="ListParagraph"/>
        <w:ind w:left="2149"/>
        <w:jc w:val="both"/>
        <w:rPr>
          <w:rFonts w:ascii="Calibri" w:hAnsi="Calibri" w:cs="Calibri"/>
          <w:sz w:val="22"/>
          <w:szCs w:val="22"/>
          <w:lang w:val="en-US"/>
        </w:rPr>
      </w:pPr>
    </w:p>
    <w:p w14:paraId="1907F967" w14:textId="72E05C65" w:rsidR="00D170E6" w:rsidRPr="00D170E6" w:rsidRDefault="00D170E6" w:rsidP="00D170E6">
      <w:pPr>
        <w:ind w:firstLine="720"/>
        <w:jc w:val="both"/>
        <w:rPr>
          <w:rFonts w:asciiTheme="minorHAnsi" w:hAnsiTheme="minorHAnsi"/>
          <w:sz w:val="22"/>
          <w:szCs w:val="22"/>
        </w:rPr>
      </w:pPr>
      <w:r w:rsidRPr="00D170E6">
        <w:rPr>
          <w:rFonts w:asciiTheme="minorHAnsi" w:hAnsiTheme="minorHAnsi"/>
          <w:sz w:val="22"/>
          <w:szCs w:val="22"/>
        </w:rPr>
        <w:t xml:space="preserve">For the purposes of the present Campaign, the above gifts shall be collectively referred to as the </w:t>
      </w:r>
      <w:r>
        <w:rPr>
          <w:rFonts w:asciiTheme="minorHAnsi" w:hAnsiTheme="minorHAnsi"/>
          <w:sz w:val="22"/>
          <w:szCs w:val="22"/>
        </w:rPr>
        <w:tab/>
      </w:r>
      <w:r w:rsidRPr="00D170E6">
        <w:rPr>
          <w:rFonts w:asciiTheme="minorHAnsi" w:hAnsiTheme="minorHAnsi"/>
          <w:sz w:val="22"/>
          <w:szCs w:val="22"/>
        </w:rPr>
        <w:t>“Gift”.</w:t>
      </w:r>
    </w:p>
    <w:p w14:paraId="61F791AC" w14:textId="0CAB026B" w:rsidR="00D170E6" w:rsidRPr="00D170E6" w:rsidRDefault="00D170E6" w:rsidP="00D170E6">
      <w:pPr>
        <w:ind w:firstLine="720"/>
        <w:jc w:val="both"/>
        <w:rPr>
          <w:rFonts w:asciiTheme="minorHAnsi" w:hAnsiTheme="minorHAnsi"/>
          <w:sz w:val="22"/>
          <w:szCs w:val="22"/>
        </w:rPr>
      </w:pPr>
      <w:r w:rsidRPr="00D170E6">
        <w:rPr>
          <w:rFonts w:asciiTheme="minorHAnsi" w:hAnsiTheme="minorHAnsi"/>
          <w:sz w:val="22"/>
          <w:szCs w:val="22"/>
        </w:rPr>
        <w:t xml:space="preserve">It is clarified that, for the purposes of the Campaign, the transaction date shall be deemed to be the </w:t>
      </w:r>
      <w:r w:rsidR="001E6A4B">
        <w:rPr>
          <w:rFonts w:asciiTheme="minorHAnsi" w:hAnsiTheme="minorHAnsi"/>
          <w:sz w:val="22"/>
          <w:szCs w:val="22"/>
        </w:rPr>
        <w:tab/>
      </w:r>
      <w:r w:rsidRPr="00D170E6">
        <w:rPr>
          <w:rFonts w:asciiTheme="minorHAnsi" w:hAnsiTheme="minorHAnsi"/>
          <w:sz w:val="22"/>
          <w:szCs w:val="22"/>
        </w:rPr>
        <w:t>posting date of the transactions in the Bank’s system.</w:t>
      </w:r>
    </w:p>
    <w:p w14:paraId="24F0E285" w14:textId="77777777" w:rsidR="003711AC" w:rsidRDefault="003711AC" w:rsidP="003711AC">
      <w:pPr>
        <w:ind w:firstLine="360"/>
        <w:jc w:val="both"/>
        <w:rPr>
          <w:rFonts w:asciiTheme="minorHAnsi" w:hAnsiTheme="minorHAnsi"/>
          <w:sz w:val="22"/>
          <w:szCs w:val="22"/>
          <w:lang w:val="en-US"/>
        </w:rPr>
      </w:pPr>
    </w:p>
    <w:p w14:paraId="56AC6EB8" w14:textId="77777777" w:rsidR="00057D60" w:rsidRPr="00057D60" w:rsidRDefault="00057D60" w:rsidP="00057D60">
      <w:pPr>
        <w:pStyle w:val="ListParagraph"/>
        <w:numPr>
          <w:ilvl w:val="0"/>
          <w:numId w:val="1"/>
        </w:numPr>
        <w:jc w:val="both"/>
        <w:rPr>
          <w:rFonts w:ascii="Calibri" w:hAnsi="Calibri" w:cs="Calibri"/>
          <w:sz w:val="22"/>
          <w:szCs w:val="22"/>
          <w:lang w:eastAsia="el-GR"/>
        </w:rPr>
      </w:pPr>
      <w:r w:rsidRPr="00057D60">
        <w:rPr>
          <w:rFonts w:ascii="Calibri" w:hAnsi="Calibri" w:cs="Calibri"/>
          <w:sz w:val="22"/>
          <w:szCs w:val="22"/>
          <w:lang w:eastAsia="el-GR"/>
        </w:rPr>
        <w:t>The following are expressly excluded from the Campaign:</w:t>
      </w:r>
    </w:p>
    <w:p w14:paraId="30205B57" w14:textId="59513975" w:rsidR="00057D60" w:rsidRPr="00057D60" w:rsidRDefault="00057D60" w:rsidP="0083335D">
      <w:pPr>
        <w:pStyle w:val="ListParagraph"/>
        <w:jc w:val="both"/>
        <w:rPr>
          <w:rFonts w:ascii="Calibri" w:hAnsi="Calibri" w:cs="Calibri"/>
          <w:sz w:val="22"/>
          <w:szCs w:val="22"/>
          <w:lang w:eastAsia="el-GR"/>
        </w:rPr>
      </w:pPr>
      <w:proofErr w:type="spellStart"/>
      <w:r w:rsidRPr="00057D60">
        <w:rPr>
          <w:rFonts w:ascii="Calibri" w:hAnsi="Calibri" w:cs="Calibri"/>
          <w:sz w:val="22"/>
          <w:szCs w:val="22"/>
          <w:lang w:eastAsia="el-GR"/>
        </w:rPr>
        <w:t>i</w:t>
      </w:r>
      <w:proofErr w:type="spellEnd"/>
      <w:r w:rsidRPr="00057D60">
        <w:rPr>
          <w:rFonts w:ascii="Calibri" w:hAnsi="Calibri" w:cs="Calibri"/>
          <w:sz w:val="22"/>
          <w:szCs w:val="22"/>
          <w:lang w:eastAsia="el-GR"/>
        </w:rPr>
        <w:t>. Cardholders who apply for a business card, namely the “Aegean Mastercard Business”.</w:t>
      </w:r>
      <w:r w:rsidRPr="00057D60">
        <w:rPr>
          <w:rFonts w:ascii="Calibri" w:hAnsi="Calibri" w:cs="Calibri"/>
          <w:sz w:val="22"/>
          <w:szCs w:val="22"/>
          <w:lang w:eastAsia="el-GR"/>
        </w:rPr>
        <w:br/>
        <w:t>ii. Cardholders who apply for the reissuance of a Card that was issued within the last twelve (12) months and was terminated for any reason.</w:t>
      </w:r>
      <w:r w:rsidRPr="00057D60">
        <w:rPr>
          <w:rFonts w:ascii="Calibri" w:hAnsi="Calibri" w:cs="Calibri"/>
          <w:sz w:val="22"/>
          <w:szCs w:val="22"/>
          <w:lang w:eastAsia="el-GR"/>
        </w:rPr>
        <w:br/>
        <w:t>iii. Cardholders who already hold the Card.</w:t>
      </w:r>
      <w:r w:rsidRPr="00057D60">
        <w:rPr>
          <w:rFonts w:ascii="Calibri" w:hAnsi="Calibri" w:cs="Calibri"/>
          <w:sz w:val="22"/>
          <w:szCs w:val="22"/>
          <w:lang w:eastAsia="el-GR"/>
        </w:rPr>
        <w:br/>
        <w:t>iv. Cardholders who are not the Primary Cardholders.</w:t>
      </w:r>
    </w:p>
    <w:p w14:paraId="2E96C97B" w14:textId="77777777" w:rsidR="008D236E" w:rsidRPr="00811C75" w:rsidRDefault="008D236E" w:rsidP="00E0601A">
      <w:pPr>
        <w:pStyle w:val="ListParagraph"/>
        <w:ind w:left="1440"/>
        <w:jc w:val="both"/>
        <w:rPr>
          <w:rFonts w:asciiTheme="minorHAnsi" w:hAnsiTheme="minorHAnsi"/>
          <w:sz w:val="22"/>
          <w:szCs w:val="22"/>
        </w:rPr>
      </w:pPr>
    </w:p>
    <w:p w14:paraId="5133B6D1" w14:textId="03AECAF5" w:rsidR="00517C82" w:rsidRDefault="00517C82" w:rsidP="00517C82">
      <w:pPr>
        <w:pStyle w:val="ListParagraph"/>
        <w:numPr>
          <w:ilvl w:val="0"/>
          <w:numId w:val="1"/>
        </w:numPr>
        <w:jc w:val="both"/>
        <w:rPr>
          <w:rFonts w:ascii="Calibri" w:hAnsi="Calibri" w:cs="Calibri"/>
          <w:sz w:val="22"/>
          <w:szCs w:val="22"/>
          <w:lang w:eastAsia="el-GR"/>
        </w:rPr>
      </w:pPr>
      <w:r w:rsidRPr="00517C82">
        <w:rPr>
          <w:rFonts w:ascii="Calibri" w:hAnsi="Calibri" w:cs="Calibri"/>
          <w:sz w:val="22"/>
          <w:szCs w:val="22"/>
          <w:lang w:eastAsia="el-GR"/>
        </w:rPr>
        <w:t>The following transactions are expressly excluded from the Campaign:</w:t>
      </w:r>
    </w:p>
    <w:p w14:paraId="47F960C5" w14:textId="48D54DAC" w:rsidR="00517C82" w:rsidRPr="00517C82" w:rsidRDefault="00517C82" w:rsidP="00517C82">
      <w:pPr>
        <w:ind w:left="720"/>
        <w:rPr>
          <w:rFonts w:ascii="Calibri" w:hAnsi="Calibri" w:cs="Calibri"/>
          <w:sz w:val="22"/>
          <w:szCs w:val="22"/>
          <w:lang w:eastAsia="el-GR"/>
        </w:rPr>
      </w:pPr>
      <w:r w:rsidRPr="00517C82">
        <w:rPr>
          <w:rFonts w:ascii="Calibri" w:hAnsi="Calibri" w:cs="Calibri"/>
          <w:sz w:val="22"/>
          <w:szCs w:val="22"/>
          <w:lang w:eastAsia="el-GR"/>
        </w:rPr>
        <w:t>(a) cash withdrawals</w:t>
      </w:r>
      <w:r w:rsidRPr="00517C82">
        <w:rPr>
          <w:rFonts w:ascii="Calibri" w:hAnsi="Calibri" w:cs="Calibri"/>
          <w:sz w:val="22"/>
          <w:szCs w:val="22"/>
          <w:lang w:eastAsia="el-GR"/>
        </w:rPr>
        <w:br/>
        <w:t>(b) cash or cheque deposits</w:t>
      </w:r>
      <w:r w:rsidRPr="00517C82">
        <w:rPr>
          <w:rFonts w:ascii="Calibri" w:hAnsi="Calibri" w:cs="Calibri"/>
          <w:sz w:val="22"/>
          <w:szCs w:val="22"/>
          <w:lang w:eastAsia="el-GR"/>
        </w:rPr>
        <w:br/>
        <w:t xml:space="preserve">(c) </w:t>
      </w:r>
      <w:r w:rsidR="0054285E">
        <w:rPr>
          <w:rFonts w:ascii="Calibri" w:hAnsi="Calibri" w:cs="Calibri"/>
          <w:sz w:val="22"/>
          <w:szCs w:val="22"/>
          <w:lang w:eastAsia="el-GR"/>
        </w:rPr>
        <w:t>direct debit</w:t>
      </w:r>
      <w:r w:rsidRPr="00517C82">
        <w:rPr>
          <w:rFonts w:ascii="Calibri" w:hAnsi="Calibri" w:cs="Calibri"/>
          <w:sz w:val="22"/>
          <w:szCs w:val="22"/>
          <w:lang w:eastAsia="el-GR"/>
        </w:rPr>
        <w:t xml:space="preserve"> payments</w:t>
      </w:r>
      <w:r w:rsidRPr="00517C82">
        <w:rPr>
          <w:rFonts w:ascii="Calibri" w:hAnsi="Calibri" w:cs="Calibri"/>
          <w:sz w:val="22"/>
          <w:szCs w:val="22"/>
          <w:lang w:eastAsia="el-GR"/>
        </w:rPr>
        <w:br/>
        <w:t xml:space="preserve">(d) bank charges, such as </w:t>
      </w:r>
      <w:r w:rsidR="005011E2">
        <w:rPr>
          <w:rFonts w:ascii="Calibri" w:hAnsi="Calibri" w:cs="Calibri"/>
          <w:sz w:val="22"/>
          <w:szCs w:val="22"/>
          <w:lang w:eastAsia="el-GR"/>
        </w:rPr>
        <w:t xml:space="preserve">payment of </w:t>
      </w:r>
      <w:r w:rsidRPr="00517C82">
        <w:rPr>
          <w:rFonts w:ascii="Calibri" w:hAnsi="Calibri" w:cs="Calibri"/>
          <w:sz w:val="22"/>
          <w:szCs w:val="22"/>
          <w:lang w:eastAsia="el-GR"/>
        </w:rPr>
        <w:t>card subscription fees, fees for re</w:t>
      </w:r>
      <w:r w:rsidR="005011E2">
        <w:rPr>
          <w:rFonts w:ascii="Calibri" w:hAnsi="Calibri" w:cs="Calibri"/>
          <w:sz w:val="22"/>
          <w:szCs w:val="22"/>
          <w:lang w:eastAsia="el-GR"/>
        </w:rPr>
        <w:t xml:space="preserve">-printing </w:t>
      </w:r>
      <w:r w:rsidR="00452241">
        <w:rPr>
          <w:rFonts w:ascii="Calibri" w:hAnsi="Calibri" w:cs="Calibri"/>
          <w:sz w:val="22"/>
          <w:szCs w:val="22"/>
          <w:lang w:eastAsia="el-GR"/>
        </w:rPr>
        <w:t>PIN</w:t>
      </w:r>
      <w:r w:rsidRPr="00517C82">
        <w:rPr>
          <w:rFonts w:ascii="Calibri" w:hAnsi="Calibri" w:cs="Calibri"/>
          <w:sz w:val="22"/>
          <w:szCs w:val="22"/>
          <w:lang w:eastAsia="el-GR"/>
        </w:rPr>
        <w:t>, etc.</w:t>
      </w:r>
      <w:r w:rsidRPr="00517C82">
        <w:rPr>
          <w:rFonts w:ascii="Calibri" w:hAnsi="Calibri" w:cs="Calibri"/>
          <w:sz w:val="22"/>
          <w:szCs w:val="22"/>
          <w:lang w:eastAsia="el-GR"/>
        </w:rPr>
        <w:br/>
        <w:t>(e) transactions for the payment of taxes and fees to government services (including posta</w:t>
      </w:r>
      <w:r w:rsidR="00452241">
        <w:rPr>
          <w:rFonts w:ascii="Calibri" w:hAnsi="Calibri" w:cs="Calibri"/>
          <w:sz w:val="22"/>
          <w:szCs w:val="22"/>
          <w:lang w:eastAsia="el-GR"/>
        </w:rPr>
        <w:t>ge fees</w:t>
      </w:r>
      <w:r w:rsidRPr="00517C82">
        <w:rPr>
          <w:rFonts w:ascii="Calibri" w:hAnsi="Calibri" w:cs="Calibri"/>
          <w:sz w:val="22"/>
          <w:szCs w:val="22"/>
          <w:lang w:eastAsia="el-GR"/>
        </w:rPr>
        <w:t>)</w:t>
      </w:r>
    </w:p>
    <w:p w14:paraId="61103805" w14:textId="77777777" w:rsidR="003711AC" w:rsidRPr="00517C82" w:rsidRDefault="003711AC" w:rsidP="003711AC">
      <w:pPr>
        <w:jc w:val="both"/>
        <w:rPr>
          <w:rFonts w:asciiTheme="minorHAnsi" w:hAnsiTheme="minorHAnsi"/>
          <w:sz w:val="22"/>
          <w:szCs w:val="22"/>
        </w:rPr>
      </w:pPr>
    </w:p>
    <w:p w14:paraId="1EAFEEAC" w14:textId="3B1480AC" w:rsidR="00D17F1B" w:rsidRPr="00D17F1B" w:rsidRDefault="00D17F1B" w:rsidP="00D17F1B">
      <w:pPr>
        <w:pStyle w:val="Default"/>
        <w:numPr>
          <w:ilvl w:val="0"/>
          <w:numId w:val="1"/>
        </w:numPr>
        <w:jc w:val="both"/>
        <w:rPr>
          <w:rFonts w:asciiTheme="minorHAnsi" w:hAnsiTheme="minorHAnsi" w:cs="Segoe UI"/>
          <w:sz w:val="22"/>
          <w:szCs w:val="22"/>
          <w:lang w:val="en-GB"/>
        </w:rPr>
      </w:pPr>
      <w:r w:rsidRPr="00D17F1B">
        <w:rPr>
          <w:rFonts w:asciiTheme="minorHAnsi" w:hAnsiTheme="minorHAnsi" w:cs="Segoe UI"/>
          <w:sz w:val="22"/>
          <w:szCs w:val="22"/>
          <w:lang w:val="en-GB"/>
        </w:rPr>
        <w:t xml:space="preserve">The Gift will be dispatched by </w:t>
      </w:r>
      <w:r w:rsidRPr="00B90628">
        <w:rPr>
          <w:rFonts w:asciiTheme="minorHAnsi" w:hAnsiTheme="minorHAnsi" w:cs="Segoe UI"/>
          <w:sz w:val="22"/>
          <w:szCs w:val="22"/>
          <w:lang w:val="en-GB"/>
        </w:rPr>
        <w:t>Jinius Marketplace</w:t>
      </w:r>
      <w:r w:rsidRPr="00D17F1B">
        <w:rPr>
          <w:rFonts w:asciiTheme="minorHAnsi" w:hAnsiTheme="minorHAnsi" w:cs="Segoe UI"/>
          <w:sz w:val="22"/>
          <w:szCs w:val="22"/>
          <w:lang w:val="en-GB"/>
        </w:rPr>
        <w:t xml:space="preserve"> to the mailing address of the Beneficiaries as declared by them to the Bank.</w:t>
      </w:r>
    </w:p>
    <w:p w14:paraId="6FFC70DB" w14:textId="77777777" w:rsidR="003711AC" w:rsidRPr="00D17F1B" w:rsidRDefault="003711AC" w:rsidP="003711AC">
      <w:pPr>
        <w:pStyle w:val="Default"/>
        <w:adjustRightInd/>
        <w:ind w:left="720"/>
        <w:jc w:val="both"/>
        <w:rPr>
          <w:rFonts w:ascii="Calibri" w:hAnsi="Calibri" w:cs="Calibri"/>
          <w:sz w:val="22"/>
          <w:szCs w:val="22"/>
          <w:lang w:val="en-GB" w:eastAsia="el-GR"/>
        </w:rPr>
      </w:pPr>
    </w:p>
    <w:p w14:paraId="55DED5B7" w14:textId="77777777" w:rsidR="00B06A1E" w:rsidRPr="00811C75" w:rsidRDefault="00D87B30" w:rsidP="003711AC">
      <w:pPr>
        <w:pStyle w:val="ListParagraph"/>
        <w:numPr>
          <w:ilvl w:val="0"/>
          <w:numId w:val="1"/>
        </w:numPr>
        <w:rPr>
          <w:rFonts w:asciiTheme="minorHAnsi" w:eastAsiaTheme="minorHAnsi" w:hAnsiTheme="minorHAnsi" w:cs="Arial"/>
          <w:color w:val="000000"/>
          <w:sz w:val="22"/>
          <w:szCs w:val="22"/>
        </w:rPr>
      </w:pPr>
      <w:r>
        <w:rPr>
          <w:rFonts w:asciiTheme="minorHAnsi" w:hAnsiTheme="minorHAnsi"/>
          <w:sz w:val="22"/>
          <w:szCs w:val="22"/>
        </w:rPr>
        <w:t xml:space="preserve">The Beneficiaries accept that their </w:t>
      </w:r>
      <w:r w:rsidR="00F94D21" w:rsidRPr="00F94D21">
        <w:rPr>
          <w:rFonts w:asciiTheme="minorHAnsi" w:hAnsiTheme="minorHAnsi"/>
          <w:sz w:val="22"/>
          <w:szCs w:val="22"/>
        </w:rPr>
        <w:t xml:space="preserve">full name, </w:t>
      </w:r>
      <w:r w:rsidR="00F65F60">
        <w:rPr>
          <w:rFonts w:asciiTheme="minorHAnsi" w:hAnsiTheme="minorHAnsi"/>
          <w:sz w:val="22"/>
          <w:szCs w:val="22"/>
        </w:rPr>
        <w:t>mailing</w:t>
      </w:r>
      <w:r w:rsidR="00F94D21" w:rsidRPr="00F94D21">
        <w:rPr>
          <w:rFonts w:asciiTheme="minorHAnsi" w:hAnsiTheme="minorHAnsi"/>
          <w:sz w:val="22"/>
          <w:szCs w:val="22"/>
        </w:rPr>
        <w:t xml:space="preserve"> address and </w:t>
      </w:r>
      <w:r w:rsidR="002873D9">
        <w:rPr>
          <w:rFonts w:asciiTheme="minorHAnsi" w:hAnsiTheme="minorHAnsi"/>
          <w:sz w:val="22"/>
          <w:szCs w:val="22"/>
        </w:rPr>
        <w:t>contact</w:t>
      </w:r>
      <w:r w:rsidR="00941BA9">
        <w:rPr>
          <w:rFonts w:asciiTheme="minorHAnsi" w:hAnsiTheme="minorHAnsi"/>
          <w:sz w:val="22"/>
          <w:szCs w:val="22"/>
        </w:rPr>
        <w:t xml:space="preserve"> </w:t>
      </w:r>
      <w:r w:rsidR="00F94D21" w:rsidRPr="00F94D21">
        <w:rPr>
          <w:rFonts w:asciiTheme="minorHAnsi" w:hAnsiTheme="minorHAnsi"/>
          <w:sz w:val="22"/>
          <w:szCs w:val="22"/>
        </w:rPr>
        <w:t>phone number</w:t>
      </w:r>
      <w:r w:rsidR="00941BA9">
        <w:rPr>
          <w:rFonts w:asciiTheme="minorHAnsi" w:hAnsiTheme="minorHAnsi"/>
          <w:sz w:val="22"/>
          <w:szCs w:val="22"/>
        </w:rPr>
        <w:t>, as declared by them to the Bank,</w:t>
      </w:r>
      <w:r w:rsidR="00F94D21" w:rsidRPr="00F94D21">
        <w:rPr>
          <w:rFonts w:asciiTheme="minorHAnsi" w:hAnsiTheme="minorHAnsi"/>
          <w:sz w:val="22"/>
          <w:szCs w:val="22"/>
        </w:rPr>
        <w:t xml:space="preserve"> will be disclosed to Jinius Marketplace for the</w:t>
      </w:r>
      <w:r w:rsidR="00941BA9">
        <w:rPr>
          <w:rFonts w:asciiTheme="minorHAnsi" w:hAnsiTheme="minorHAnsi"/>
          <w:sz w:val="22"/>
          <w:szCs w:val="22"/>
        </w:rPr>
        <w:t xml:space="preserve"> purpose</w:t>
      </w:r>
      <w:r w:rsidR="00E62C75">
        <w:rPr>
          <w:rFonts w:asciiTheme="minorHAnsi" w:hAnsiTheme="minorHAnsi"/>
          <w:sz w:val="22"/>
          <w:szCs w:val="22"/>
        </w:rPr>
        <w:t xml:space="preserve"> of delivering</w:t>
      </w:r>
      <w:r w:rsidR="00F94D21" w:rsidRPr="00F94D21">
        <w:rPr>
          <w:rFonts w:asciiTheme="minorHAnsi" w:hAnsiTheme="minorHAnsi"/>
          <w:sz w:val="22"/>
          <w:szCs w:val="22"/>
        </w:rPr>
        <w:t xml:space="preserve"> the Gift. These details will be retained in the records of Jinius Marketplace for a period of up to 30</w:t>
      </w:r>
      <w:r w:rsidR="004C704A">
        <w:rPr>
          <w:rFonts w:asciiTheme="minorHAnsi" w:hAnsiTheme="minorHAnsi"/>
          <w:sz w:val="22"/>
          <w:szCs w:val="22"/>
        </w:rPr>
        <w:t xml:space="preserve"> business </w:t>
      </w:r>
      <w:r w:rsidR="00F94D21" w:rsidRPr="00F94D21">
        <w:rPr>
          <w:rFonts w:asciiTheme="minorHAnsi" w:hAnsiTheme="minorHAnsi"/>
          <w:sz w:val="22"/>
          <w:szCs w:val="22"/>
        </w:rPr>
        <w:t xml:space="preserve">days </w:t>
      </w:r>
      <w:r w:rsidR="004C704A">
        <w:rPr>
          <w:rFonts w:asciiTheme="minorHAnsi" w:hAnsiTheme="minorHAnsi"/>
          <w:sz w:val="22"/>
          <w:szCs w:val="22"/>
        </w:rPr>
        <w:t xml:space="preserve">following </w:t>
      </w:r>
      <w:r w:rsidR="00F94D21" w:rsidRPr="00F94D21">
        <w:rPr>
          <w:rFonts w:asciiTheme="minorHAnsi" w:hAnsiTheme="minorHAnsi"/>
          <w:sz w:val="22"/>
          <w:szCs w:val="22"/>
        </w:rPr>
        <w:t xml:space="preserve">the delivery of all Gifts </w:t>
      </w:r>
      <w:r w:rsidR="0008222E">
        <w:rPr>
          <w:rFonts w:asciiTheme="minorHAnsi" w:hAnsiTheme="minorHAnsi"/>
          <w:sz w:val="22"/>
          <w:szCs w:val="22"/>
        </w:rPr>
        <w:t xml:space="preserve">to all Beneficiaries and will thereafter be deleted. </w:t>
      </w:r>
      <w:r w:rsidR="00F94D21" w:rsidRPr="00F94D21">
        <w:rPr>
          <w:rFonts w:asciiTheme="minorHAnsi" w:hAnsiTheme="minorHAnsi"/>
          <w:sz w:val="22"/>
          <w:szCs w:val="22"/>
        </w:rPr>
        <w:t xml:space="preserve"> Ιn </w:t>
      </w:r>
      <w:r w:rsidR="00995E63">
        <w:rPr>
          <w:rFonts w:asciiTheme="minorHAnsi" w:hAnsiTheme="minorHAnsi"/>
          <w:sz w:val="22"/>
          <w:szCs w:val="22"/>
        </w:rPr>
        <w:t>the event that the</w:t>
      </w:r>
      <w:r w:rsidR="006D0B95">
        <w:rPr>
          <w:rFonts w:asciiTheme="minorHAnsi" w:hAnsiTheme="minorHAnsi"/>
          <w:sz w:val="22"/>
          <w:szCs w:val="22"/>
        </w:rPr>
        <w:t xml:space="preserve"> Gift is</w:t>
      </w:r>
      <w:r w:rsidR="00F94D21" w:rsidRPr="00F94D21">
        <w:rPr>
          <w:rFonts w:asciiTheme="minorHAnsi" w:hAnsiTheme="minorHAnsi"/>
          <w:sz w:val="22"/>
          <w:szCs w:val="22"/>
        </w:rPr>
        <w:t xml:space="preserve"> defective</w:t>
      </w:r>
      <w:r w:rsidR="006D0B95">
        <w:rPr>
          <w:rFonts w:asciiTheme="minorHAnsi" w:hAnsiTheme="minorHAnsi"/>
          <w:sz w:val="22"/>
          <w:szCs w:val="22"/>
        </w:rPr>
        <w:t xml:space="preserve">, the Beneficiary may contact </w:t>
      </w:r>
      <w:r w:rsidR="00F94D21" w:rsidRPr="00F94D21">
        <w:rPr>
          <w:rFonts w:asciiTheme="minorHAnsi" w:hAnsiTheme="minorHAnsi"/>
          <w:sz w:val="22"/>
          <w:szCs w:val="22"/>
        </w:rPr>
        <w:t>the Jinius Support Team</w:t>
      </w:r>
      <w:r w:rsidR="002873D9">
        <w:rPr>
          <w:rFonts w:asciiTheme="minorHAnsi" w:hAnsiTheme="minorHAnsi"/>
          <w:sz w:val="22"/>
          <w:szCs w:val="22"/>
        </w:rPr>
        <w:t xml:space="preserve"> at the</w:t>
      </w:r>
      <w:r w:rsidR="00F94D21" w:rsidRPr="00F94D21">
        <w:rPr>
          <w:rFonts w:asciiTheme="minorHAnsi" w:hAnsiTheme="minorHAnsi"/>
          <w:sz w:val="22"/>
          <w:szCs w:val="22"/>
        </w:rPr>
        <w:t xml:space="preserve"> email</w:t>
      </w:r>
      <w:r w:rsidR="002873D9">
        <w:rPr>
          <w:rFonts w:asciiTheme="minorHAnsi" w:hAnsiTheme="minorHAnsi"/>
          <w:sz w:val="22"/>
          <w:szCs w:val="22"/>
        </w:rPr>
        <w:t xml:space="preserve"> address</w:t>
      </w:r>
      <w:r w:rsidR="00F94D21" w:rsidRPr="00F94D21">
        <w:rPr>
          <w:rFonts w:asciiTheme="minorHAnsi" w:hAnsiTheme="minorHAnsi"/>
          <w:sz w:val="22"/>
          <w:szCs w:val="22"/>
        </w:rPr>
        <w:t>: hey@jinius.com.cy or telephone no: 22363300.</w:t>
      </w:r>
    </w:p>
    <w:p w14:paraId="60B9AF43" w14:textId="77777777" w:rsidR="00B06A1E" w:rsidRPr="00811C75" w:rsidRDefault="00B06A1E" w:rsidP="00B06A1E">
      <w:pPr>
        <w:pStyle w:val="ListParagraph"/>
        <w:rPr>
          <w:rFonts w:asciiTheme="minorHAnsi" w:hAnsiTheme="minorHAnsi"/>
          <w:sz w:val="22"/>
          <w:szCs w:val="22"/>
        </w:rPr>
      </w:pPr>
    </w:p>
    <w:p w14:paraId="245CC024" w14:textId="77777777" w:rsidR="003711AC" w:rsidRPr="00811C75" w:rsidRDefault="003711AC" w:rsidP="003711AC">
      <w:pPr>
        <w:pStyle w:val="Default"/>
        <w:adjustRightInd/>
        <w:ind w:left="720"/>
        <w:jc w:val="both"/>
        <w:rPr>
          <w:rFonts w:ascii="Calibri" w:hAnsi="Calibri" w:cs="Calibri"/>
          <w:sz w:val="22"/>
          <w:szCs w:val="22"/>
          <w:lang w:val="en-GB" w:eastAsia="el-GR"/>
        </w:rPr>
      </w:pPr>
    </w:p>
    <w:p w14:paraId="3785AC70" w14:textId="74F2CBF8" w:rsidR="00A00E63" w:rsidRPr="00A00E63" w:rsidRDefault="00A00E63" w:rsidP="00A00E63">
      <w:pPr>
        <w:pStyle w:val="Default"/>
        <w:numPr>
          <w:ilvl w:val="0"/>
          <w:numId w:val="1"/>
        </w:numPr>
        <w:jc w:val="both"/>
        <w:rPr>
          <w:rFonts w:ascii="Calibri" w:hAnsi="Calibri" w:cs="Calibri"/>
          <w:sz w:val="22"/>
          <w:szCs w:val="22"/>
          <w:lang w:val="en-GB" w:eastAsia="el-GR"/>
        </w:rPr>
      </w:pPr>
      <w:r w:rsidRPr="00A00E63">
        <w:rPr>
          <w:rFonts w:ascii="Calibri" w:hAnsi="Calibri" w:cs="Calibri"/>
          <w:sz w:val="22"/>
          <w:szCs w:val="22"/>
          <w:lang w:val="en-GB" w:eastAsia="el-GR"/>
        </w:rPr>
        <w:t xml:space="preserve">The Campaign </w:t>
      </w:r>
      <w:r w:rsidR="00DE5CAD">
        <w:rPr>
          <w:rFonts w:ascii="Calibri" w:hAnsi="Calibri" w:cs="Calibri"/>
          <w:sz w:val="22"/>
          <w:szCs w:val="22"/>
          <w:lang w:val="en-GB" w:eastAsia="el-GR"/>
        </w:rPr>
        <w:t>will</w:t>
      </w:r>
      <w:r w:rsidRPr="00A00E63">
        <w:rPr>
          <w:rFonts w:ascii="Calibri" w:hAnsi="Calibri" w:cs="Calibri"/>
          <w:sz w:val="22"/>
          <w:szCs w:val="22"/>
          <w:lang w:val="en-GB" w:eastAsia="el-GR"/>
        </w:rPr>
        <w:t xml:space="preserve"> be valid from 05/05/2026 until 30/06/2026.</w:t>
      </w:r>
    </w:p>
    <w:p w14:paraId="6BD0F7F7" w14:textId="77777777" w:rsidR="003711AC" w:rsidRPr="00A00E63" w:rsidRDefault="003711AC" w:rsidP="003711AC">
      <w:pPr>
        <w:pStyle w:val="Default"/>
        <w:adjustRightInd/>
        <w:ind w:left="720"/>
        <w:jc w:val="both"/>
        <w:rPr>
          <w:rFonts w:ascii="Calibri" w:hAnsi="Calibri" w:cs="Calibri"/>
          <w:sz w:val="22"/>
          <w:szCs w:val="22"/>
          <w:lang w:val="en-GB" w:eastAsia="el-GR"/>
        </w:rPr>
      </w:pPr>
    </w:p>
    <w:p w14:paraId="43110349" w14:textId="38648D7F" w:rsidR="001A1C24" w:rsidRPr="001A1C24" w:rsidRDefault="001A1C24" w:rsidP="001A1C24">
      <w:pPr>
        <w:pStyle w:val="Default"/>
        <w:numPr>
          <w:ilvl w:val="0"/>
          <w:numId w:val="1"/>
        </w:numPr>
        <w:jc w:val="both"/>
        <w:rPr>
          <w:rFonts w:ascii="Calibri" w:hAnsi="Calibri" w:cs="Calibri"/>
          <w:sz w:val="22"/>
          <w:szCs w:val="22"/>
          <w:lang w:val="en-GB"/>
        </w:rPr>
      </w:pPr>
      <w:r w:rsidRPr="001A1C24">
        <w:rPr>
          <w:rFonts w:ascii="Calibri" w:hAnsi="Calibri" w:cs="Calibri"/>
          <w:sz w:val="22"/>
          <w:szCs w:val="22"/>
          <w:lang w:val="en-GB"/>
        </w:rPr>
        <w:t>The Gift cannot be exchanged for cash or for any other prize or gift.</w:t>
      </w:r>
    </w:p>
    <w:p w14:paraId="1BC83034" w14:textId="77777777" w:rsidR="003711AC" w:rsidRPr="001A1C24" w:rsidRDefault="003711AC" w:rsidP="003711AC">
      <w:pPr>
        <w:pStyle w:val="ListParagraph"/>
        <w:jc w:val="both"/>
        <w:rPr>
          <w:rFonts w:ascii="Calibri" w:hAnsi="Calibri" w:cs="Calibri"/>
          <w:sz w:val="22"/>
          <w:szCs w:val="22"/>
          <w:lang w:eastAsia="el-GR"/>
        </w:rPr>
      </w:pPr>
    </w:p>
    <w:p w14:paraId="30544C72" w14:textId="2AC15972" w:rsidR="00CA5D0F" w:rsidRPr="00CA5D0F" w:rsidRDefault="00CA5D0F" w:rsidP="00CA5D0F">
      <w:pPr>
        <w:pStyle w:val="ListParagraph"/>
        <w:numPr>
          <w:ilvl w:val="0"/>
          <w:numId w:val="1"/>
        </w:numPr>
        <w:jc w:val="both"/>
        <w:rPr>
          <w:rFonts w:ascii="Calibri" w:hAnsi="Calibri" w:cs="Calibri"/>
          <w:sz w:val="22"/>
          <w:szCs w:val="22"/>
        </w:rPr>
      </w:pPr>
      <w:r w:rsidRPr="00CA5D0F">
        <w:rPr>
          <w:rFonts w:ascii="Calibri" w:hAnsi="Calibri" w:cs="Calibri"/>
          <w:sz w:val="22"/>
          <w:szCs w:val="22"/>
        </w:rPr>
        <w:t>If any Cardholder proceeds with the cancellation of their Card within the first twelve (12) months from receiving the Gift, a partial charge of the original cost of the Gift shall be applied to the Cardholder’s Card Account (as defined in the Bank’s Card Terms and Conditions), amounting to €60.</w:t>
      </w:r>
    </w:p>
    <w:p w14:paraId="67AD8004" w14:textId="77777777" w:rsidR="003711AC" w:rsidRPr="00CA5D0F" w:rsidRDefault="003711AC" w:rsidP="003711AC">
      <w:pPr>
        <w:pStyle w:val="ListParagraph"/>
        <w:rPr>
          <w:rFonts w:ascii="Calibri" w:hAnsi="Calibri" w:cs="Calibri"/>
          <w:sz w:val="22"/>
          <w:szCs w:val="22"/>
        </w:rPr>
      </w:pPr>
    </w:p>
    <w:p w14:paraId="7918D1FA" w14:textId="2EB9AAC1" w:rsidR="00334F89" w:rsidRPr="00334F89" w:rsidRDefault="00334F89" w:rsidP="00334F89">
      <w:pPr>
        <w:pStyle w:val="ListParagraph"/>
        <w:numPr>
          <w:ilvl w:val="0"/>
          <w:numId w:val="1"/>
        </w:numPr>
        <w:spacing w:line="276" w:lineRule="auto"/>
        <w:jc w:val="both"/>
        <w:rPr>
          <w:rFonts w:ascii="Calibri" w:hAnsi="Calibri" w:cs="Calibri"/>
          <w:sz w:val="22"/>
          <w:szCs w:val="22"/>
        </w:rPr>
      </w:pPr>
      <w:r w:rsidRPr="00334F89">
        <w:rPr>
          <w:rFonts w:ascii="Calibri" w:hAnsi="Calibri" w:cs="Calibri"/>
          <w:sz w:val="22"/>
          <w:szCs w:val="22"/>
        </w:rPr>
        <w:t>The Bank reserves the right to exclude any participation and to prevent any person from further participating in the Campaign if such person interferes in any way with the participation process or with the proper conduct of the Campaign, or acts in breach of these Terms and Conditions.</w:t>
      </w:r>
    </w:p>
    <w:p w14:paraId="7174FFFD" w14:textId="77777777" w:rsidR="003711AC" w:rsidRPr="00841F7F" w:rsidRDefault="003711AC" w:rsidP="003711AC">
      <w:pPr>
        <w:pStyle w:val="ListParagraph"/>
        <w:jc w:val="both"/>
        <w:rPr>
          <w:rFonts w:ascii="Calibri" w:eastAsiaTheme="minorHAnsi" w:hAnsi="Calibri" w:cs="Calibri"/>
          <w:sz w:val="22"/>
          <w:szCs w:val="22"/>
        </w:rPr>
      </w:pPr>
    </w:p>
    <w:p w14:paraId="4A4476A6" w14:textId="77777777" w:rsidR="00B2574E" w:rsidRDefault="00005F20" w:rsidP="00B2574E">
      <w:pPr>
        <w:pStyle w:val="Default"/>
        <w:numPr>
          <w:ilvl w:val="0"/>
          <w:numId w:val="1"/>
        </w:numPr>
        <w:jc w:val="both"/>
        <w:rPr>
          <w:rFonts w:ascii="Calibri" w:hAnsi="Calibri" w:cs="Calibri"/>
          <w:sz w:val="22"/>
          <w:szCs w:val="22"/>
          <w:lang w:val="en-GB"/>
        </w:rPr>
      </w:pPr>
      <w:r w:rsidRPr="00005F20">
        <w:rPr>
          <w:rFonts w:ascii="Calibri" w:hAnsi="Calibri" w:cs="Calibri"/>
          <w:sz w:val="22"/>
          <w:szCs w:val="22"/>
          <w:lang w:val="en-GB"/>
        </w:rPr>
        <w:t>By participating in the Campaign, the Cardholders confirm that they have read and understood these Terms and Conditions and agree to be bound by them.</w:t>
      </w:r>
    </w:p>
    <w:p w14:paraId="3F88AC99" w14:textId="77777777" w:rsidR="00B2574E" w:rsidRDefault="00B2574E" w:rsidP="00B2574E">
      <w:pPr>
        <w:pStyle w:val="ListParagraph"/>
        <w:rPr>
          <w:rFonts w:ascii="Calibri" w:hAnsi="Calibri" w:cs="Calibri"/>
          <w:sz w:val="22"/>
          <w:szCs w:val="22"/>
        </w:rPr>
      </w:pPr>
    </w:p>
    <w:p w14:paraId="240541F6" w14:textId="1A1C49B5" w:rsidR="00B2574E" w:rsidRPr="00B2574E" w:rsidRDefault="00B2574E" w:rsidP="00B2574E">
      <w:pPr>
        <w:pStyle w:val="Default"/>
        <w:numPr>
          <w:ilvl w:val="0"/>
          <w:numId w:val="1"/>
        </w:numPr>
        <w:jc w:val="both"/>
        <w:rPr>
          <w:rFonts w:ascii="Calibri" w:hAnsi="Calibri" w:cs="Calibri"/>
          <w:sz w:val="22"/>
          <w:szCs w:val="22"/>
          <w:lang w:val="en-GB"/>
        </w:rPr>
      </w:pPr>
      <w:r w:rsidRPr="00B2574E">
        <w:rPr>
          <w:rFonts w:ascii="Calibri" w:hAnsi="Calibri" w:cs="Calibri"/>
          <w:sz w:val="22"/>
          <w:szCs w:val="22"/>
        </w:rPr>
        <w:t>Participation in the Campaign shall be deemed as full and unconditional acceptance of these Terms and Conditions, as well as the Bank’s Card Terms and Conditions.</w:t>
      </w:r>
    </w:p>
    <w:p w14:paraId="14861535" w14:textId="77777777" w:rsidR="003711AC" w:rsidRPr="00901C4E" w:rsidRDefault="003711AC" w:rsidP="003711AC">
      <w:pPr>
        <w:pStyle w:val="ListParagraph"/>
        <w:rPr>
          <w:rFonts w:ascii="Calibri" w:hAnsi="Calibri" w:cs="Calibri"/>
          <w:sz w:val="22"/>
          <w:szCs w:val="22"/>
        </w:rPr>
      </w:pPr>
    </w:p>
    <w:p w14:paraId="7CFC1362" w14:textId="47FC86DB" w:rsidR="006C2195" w:rsidRPr="006C2195" w:rsidRDefault="006C2195" w:rsidP="006C2195">
      <w:pPr>
        <w:pStyle w:val="Default"/>
        <w:numPr>
          <w:ilvl w:val="0"/>
          <w:numId w:val="1"/>
        </w:numPr>
        <w:jc w:val="both"/>
        <w:rPr>
          <w:rFonts w:ascii="Calibri" w:hAnsi="Calibri" w:cs="Calibri"/>
          <w:sz w:val="22"/>
          <w:szCs w:val="22"/>
          <w:lang w:val="en-GB"/>
        </w:rPr>
      </w:pPr>
      <w:r w:rsidRPr="006C2195">
        <w:rPr>
          <w:rFonts w:ascii="Calibri" w:hAnsi="Calibri" w:cs="Calibri"/>
          <w:sz w:val="22"/>
          <w:szCs w:val="22"/>
          <w:lang w:val="en-GB"/>
        </w:rPr>
        <w:t>The Bank reserves the right to amend these Terms and Conditions at any time, subject to prior notification to the Cardholders.</w:t>
      </w:r>
    </w:p>
    <w:p w14:paraId="4B06A33B" w14:textId="77777777" w:rsidR="003711AC" w:rsidRPr="006C2195" w:rsidRDefault="003711AC" w:rsidP="003711AC">
      <w:pPr>
        <w:pStyle w:val="Default"/>
        <w:adjustRightInd/>
        <w:ind w:left="720"/>
        <w:jc w:val="both"/>
        <w:rPr>
          <w:rFonts w:ascii="Calibri" w:eastAsia="Times New Roman" w:hAnsi="Calibri" w:cs="Calibri"/>
          <w:color w:val="auto"/>
          <w:sz w:val="22"/>
          <w:szCs w:val="22"/>
          <w:lang w:val="en-GB"/>
        </w:rPr>
      </w:pPr>
    </w:p>
    <w:p w14:paraId="0AE0330D" w14:textId="5CBD994F" w:rsidR="00C93E3D" w:rsidRPr="00C93E3D" w:rsidRDefault="00C93E3D" w:rsidP="00C93E3D">
      <w:pPr>
        <w:pStyle w:val="Default"/>
        <w:numPr>
          <w:ilvl w:val="0"/>
          <w:numId w:val="1"/>
        </w:numPr>
        <w:jc w:val="both"/>
        <w:rPr>
          <w:rFonts w:ascii="Calibri" w:hAnsi="Calibri" w:cs="Calibri"/>
          <w:sz w:val="22"/>
          <w:szCs w:val="22"/>
          <w:lang w:val="en-GB"/>
        </w:rPr>
      </w:pPr>
      <w:r w:rsidRPr="00C93E3D">
        <w:rPr>
          <w:rFonts w:ascii="Calibri" w:hAnsi="Calibri" w:cs="Calibri"/>
          <w:sz w:val="22"/>
          <w:szCs w:val="22"/>
          <w:lang w:val="en-GB"/>
        </w:rPr>
        <w:t>The Bank does not make any representations or warranties and does not provide any guarantees in relation to the Gift.</w:t>
      </w:r>
    </w:p>
    <w:p w14:paraId="58B0E62C" w14:textId="5613349E" w:rsidR="003711AC" w:rsidRPr="00C93E3D" w:rsidRDefault="003711AC" w:rsidP="00C93E3D">
      <w:pPr>
        <w:pStyle w:val="Default"/>
        <w:adjustRightInd/>
        <w:ind w:left="720"/>
        <w:jc w:val="both"/>
        <w:rPr>
          <w:rFonts w:ascii="Calibri" w:hAnsi="Calibri" w:cs="Calibri"/>
          <w:sz w:val="22"/>
          <w:szCs w:val="22"/>
          <w:lang w:val="en-GB"/>
        </w:rPr>
      </w:pPr>
    </w:p>
    <w:p w14:paraId="2E460CB5" w14:textId="7921ED72" w:rsidR="00C539C2" w:rsidRPr="00C539C2" w:rsidRDefault="00C539C2" w:rsidP="00C539C2">
      <w:pPr>
        <w:pStyle w:val="Default"/>
        <w:numPr>
          <w:ilvl w:val="0"/>
          <w:numId w:val="1"/>
        </w:numPr>
        <w:jc w:val="both"/>
        <w:rPr>
          <w:rFonts w:ascii="Calibri" w:hAnsi="Calibri" w:cs="Calibri"/>
          <w:sz w:val="22"/>
          <w:szCs w:val="22"/>
          <w:lang w:val="en-GB"/>
        </w:rPr>
      </w:pPr>
      <w:r w:rsidRPr="00C539C2">
        <w:rPr>
          <w:rFonts w:ascii="Calibri" w:hAnsi="Calibri" w:cs="Calibri"/>
          <w:sz w:val="22"/>
          <w:szCs w:val="22"/>
          <w:lang w:val="en-GB"/>
        </w:rPr>
        <w:t>To the fullest extent permitted by law, the Bank shall not be liable for any loss, damage or injury to any person or property that may arise, directly or indirectly, wholly or partially, from the acceptance, possession or use of the Gift.</w:t>
      </w:r>
    </w:p>
    <w:p w14:paraId="2EBD04E6" w14:textId="50623B38" w:rsidR="003711AC" w:rsidRPr="00312F47" w:rsidRDefault="003711AC" w:rsidP="00312F47">
      <w:pPr>
        <w:pStyle w:val="Default"/>
        <w:adjustRightInd/>
        <w:ind w:left="720"/>
        <w:jc w:val="both"/>
        <w:rPr>
          <w:rFonts w:ascii="Calibri" w:hAnsi="Calibri" w:cs="Calibri"/>
          <w:sz w:val="22"/>
          <w:szCs w:val="22"/>
          <w:lang w:val="en-GB"/>
        </w:rPr>
      </w:pPr>
    </w:p>
    <w:p w14:paraId="0C85E736" w14:textId="77777777" w:rsidR="00F93EDB" w:rsidRDefault="004A43CD" w:rsidP="00F93EDB">
      <w:pPr>
        <w:pStyle w:val="ListParagraph"/>
        <w:numPr>
          <w:ilvl w:val="0"/>
          <w:numId w:val="1"/>
        </w:numPr>
        <w:jc w:val="both"/>
        <w:rPr>
          <w:rFonts w:asciiTheme="minorHAnsi" w:hAnsiTheme="minorHAnsi" w:cs="Arial"/>
          <w:sz w:val="22"/>
          <w:szCs w:val="22"/>
        </w:rPr>
      </w:pPr>
      <w:r w:rsidRPr="004A43CD">
        <w:rPr>
          <w:rFonts w:asciiTheme="minorHAnsi" w:hAnsiTheme="minorHAnsi" w:cs="Arial"/>
          <w:sz w:val="22"/>
          <w:szCs w:val="22"/>
        </w:rPr>
        <w:t>If, for any reason, any part of the Campaign is unable to operate as planned, including, without limitation, due to computer virus infection, network failure, unlawful interference, fraud, technical malfunction or any other cause that corrupts or affects the security, integrity or proper conduct of the Campaign, the Bank reserves the right to cancel, terminate, modify or suspend the Campaign, or to cancel any of the affected participations.</w:t>
      </w:r>
    </w:p>
    <w:p w14:paraId="0803B4E6" w14:textId="77777777" w:rsidR="00F93EDB" w:rsidRPr="00F93EDB" w:rsidRDefault="00F93EDB" w:rsidP="00F93EDB">
      <w:pPr>
        <w:pStyle w:val="ListParagraph"/>
        <w:rPr>
          <w:rFonts w:ascii="Calibri" w:hAnsi="Calibri" w:cs="Calibri"/>
          <w:sz w:val="22"/>
          <w:szCs w:val="22"/>
        </w:rPr>
      </w:pPr>
    </w:p>
    <w:p w14:paraId="7C183935" w14:textId="193E77C8" w:rsidR="00F93EDB" w:rsidRPr="00F93EDB" w:rsidRDefault="00F93EDB" w:rsidP="00F93EDB">
      <w:pPr>
        <w:pStyle w:val="ListParagraph"/>
        <w:numPr>
          <w:ilvl w:val="0"/>
          <w:numId w:val="1"/>
        </w:numPr>
        <w:jc w:val="both"/>
        <w:rPr>
          <w:rFonts w:asciiTheme="minorHAnsi" w:hAnsiTheme="minorHAnsi" w:cs="Arial"/>
          <w:sz w:val="22"/>
          <w:szCs w:val="22"/>
        </w:rPr>
      </w:pPr>
      <w:r w:rsidRPr="00F93EDB">
        <w:rPr>
          <w:rFonts w:ascii="Calibri" w:hAnsi="Calibri" w:cs="Calibri"/>
          <w:sz w:val="22"/>
          <w:szCs w:val="22"/>
        </w:rPr>
        <w:t>These Terms and Conditions are governed by the laws of the Republic of Cyprus.</w:t>
      </w:r>
    </w:p>
    <w:p w14:paraId="0920A3AE" w14:textId="77777777" w:rsidR="00B11F8D" w:rsidRPr="00F93EDB" w:rsidRDefault="00B11F8D"/>
    <w:sectPr w:rsidR="00B11F8D" w:rsidRPr="00F93EDB" w:rsidSect="003711AC">
      <w:headerReference w:type="default" r:id="rId7"/>
      <w:pgSz w:w="11906" w:h="16838"/>
      <w:pgMar w:top="567"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440A" w14:textId="77777777" w:rsidR="007E1AD5" w:rsidRDefault="007E1AD5" w:rsidP="003711AC">
      <w:r>
        <w:separator/>
      </w:r>
    </w:p>
  </w:endnote>
  <w:endnote w:type="continuationSeparator" w:id="0">
    <w:p w14:paraId="206A8E84" w14:textId="77777777" w:rsidR="007E1AD5" w:rsidRDefault="007E1AD5" w:rsidP="0037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FB49" w14:textId="77777777" w:rsidR="007E1AD5" w:rsidRDefault="007E1AD5" w:rsidP="003711AC">
      <w:r>
        <w:separator/>
      </w:r>
    </w:p>
  </w:footnote>
  <w:footnote w:type="continuationSeparator" w:id="0">
    <w:p w14:paraId="407F9CF8" w14:textId="77777777" w:rsidR="007E1AD5" w:rsidRDefault="007E1AD5" w:rsidP="0037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EB4D" w14:textId="1AA7F3B9" w:rsidR="003711AC" w:rsidRDefault="003711AC">
    <w:pPr>
      <w:pStyle w:val="Header"/>
    </w:pPr>
    <w:r>
      <w:ptab w:relativeTo="margin" w:alignment="center" w:leader="none"/>
    </w:r>
    <w:r>
      <w:ptab w:relativeTo="margin" w:alignment="right" w:leader="none"/>
    </w:r>
    <w:r w:rsidR="005A07EE">
      <w:rPr>
        <w:noProof/>
      </w:rPr>
      <w:drawing>
        <wp:inline distT="0" distB="0" distL="0" distR="0" wp14:anchorId="0CBB4581" wp14:editId="076622A2">
          <wp:extent cx="1226806" cy="227330"/>
          <wp:effectExtent l="0" t="0" r="0" b="1270"/>
          <wp:docPr id="194954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9" cy="2392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0C54"/>
    <w:multiLevelType w:val="hybridMultilevel"/>
    <w:tmpl w:val="F9805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2363"/>
    <w:multiLevelType w:val="hybridMultilevel"/>
    <w:tmpl w:val="83BE9C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FF1237"/>
    <w:multiLevelType w:val="multilevel"/>
    <w:tmpl w:val="1B7E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82A60"/>
    <w:multiLevelType w:val="hybridMultilevel"/>
    <w:tmpl w:val="EAB82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4D6A60"/>
    <w:multiLevelType w:val="hybridMultilevel"/>
    <w:tmpl w:val="799CCD58"/>
    <w:lvl w:ilvl="0" w:tplc="0809001B">
      <w:start w:val="1"/>
      <w:numFmt w:val="lowerRoman"/>
      <w:lvlText w:val="%1."/>
      <w:lvlJc w:val="righ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5" w15:restartNumberingAfterBreak="0">
    <w:nsid w:val="602C43A8"/>
    <w:multiLevelType w:val="multilevel"/>
    <w:tmpl w:val="B362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715450">
    <w:abstractNumId w:val="0"/>
  </w:num>
  <w:num w:numId="2" w16cid:durableId="693117611">
    <w:abstractNumId w:val="1"/>
  </w:num>
  <w:num w:numId="3" w16cid:durableId="2058898108">
    <w:abstractNumId w:val="4"/>
  </w:num>
  <w:num w:numId="4" w16cid:durableId="1840194808">
    <w:abstractNumId w:val="5"/>
  </w:num>
  <w:num w:numId="5" w16cid:durableId="1623733305">
    <w:abstractNumId w:val="2"/>
  </w:num>
  <w:num w:numId="6" w16cid:durableId="121315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AC"/>
    <w:rsid w:val="00005F20"/>
    <w:rsid w:val="00057D60"/>
    <w:rsid w:val="0008222E"/>
    <w:rsid w:val="001A1C24"/>
    <w:rsid w:val="001B505B"/>
    <w:rsid w:val="001E6A4B"/>
    <w:rsid w:val="00224659"/>
    <w:rsid w:val="002873D9"/>
    <w:rsid w:val="00293B41"/>
    <w:rsid w:val="0029518E"/>
    <w:rsid w:val="002A7F40"/>
    <w:rsid w:val="002B33BE"/>
    <w:rsid w:val="00311C9F"/>
    <w:rsid w:val="00312F47"/>
    <w:rsid w:val="003211DA"/>
    <w:rsid w:val="00334F89"/>
    <w:rsid w:val="003711AC"/>
    <w:rsid w:val="003A21FF"/>
    <w:rsid w:val="00433271"/>
    <w:rsid w:val="00452241"/>
    <w:rsid w:val="004A43CD"/>
    <w:rsid w:val="004B6B55"/>
    <w:rsid w:val="004C704A"/>
    <w:rsid w:val="005011E2"/>
    <w:rsid w:val="00517C82"/>
    <w:rsid w:val="0054285E"/>
    <w:rsid w:val="00594682"/>
    <w:rsid w:val="005A07EE"/>
    <w:rsid w:val="005D2395"/>
    <w:rsid w:val="00624981"/>
    <w:rsid w:val="0066631B"/>
    <w:rsid w:val="006C2195"/>
    <w:rsid w:val="006D0B95"/>
    <w:rsid w:val="0074141E"/>
    <w:rsid w:val="007C6917"/>
    <w:rsid w:val="007E1AD5"/>
    <w:rsid w:val="00811C75"/>
    <w:rsid w:val="0083335D"/>
    <w:rsid w:val="00841F7F"/>
    <w:rsid w:val="008D236E"/>
    <w:rsid w:val="00901C4E"/>
    <w:rsid w:val="00941BA9"/>
    <w:rsid w:val="00995E63"/>
    <w:rsid w:val="009D369A"/>
    <w:rsid w:val="009F75D7"/>
    <w:rsid w:val="00A00E63"/>
    <w:rsid w:val="00A71E40"/>
    <w:rsid w:val="00A8416D"/>
    <w:rsid w:val="00AC197E"/>
    <w:rsid w:val="00B06A1E"/>
    <w:rsid w:val="00B11F8D"/>
    <w:rsid w:val="00B2574E"/>
    <w:rsid w:val="00B82875"/>
    <w:rsid w:val="00B90628"/>
    <w:rsid w:val="00B91129"/>
    <w:rsid w:val="00BD40B8"/>
    <w:rsid w:val="00C2499E"/>
    <w:rsid w:val="00C52871"/>
    <w:rsid w:val="00C539C2"/>
    <w:rsid w:val="00C54AD2"/>
    <w:rsid w:val="00C93E3D"/>
    <w:rsid w:val="00CA5D0F"/>
    <w:rsid w:val="00CC23FA"/>
    <w:rsid w:val="00D170E6"/>
    <w:rsid w:val="00D17F1B"/>
    <w:rsid w:val="00D8751C"/>
    <w:rsid w:val="00D87B30"/>
    <w:rsid w:val="00D902FC"/>
    <w:rsid w:val="00DE5CAD"/>
    <w:rsid w:val="00E0601A"/>
    <w:rsid w:val="00E62C75"/>
    <w:rsid w:val="00EA2817"/>
    <w:rsid w:val="00F65F60"/>
    <w:rsid w:val="00F93EDB"/>
    <w:rsid w:val="00F9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6A662"/>
  <w15:chartTrackingRefBased/>
  <w15:docId w15:val="{F60E78D4-E83A-40A9-BBB2-D32BF741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A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71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1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1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1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1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1AC"/>
    <w:rPr>
      <w:rFonts w:eastAsiaTheme="majorEastAsia" w:cstheme="majorBidi"/>
      <w:color w:val="272727" w:themeColor="text1" w:themeTint="D8"/>
    </w:rPr>
  </w:style>
  <w:style w:type="paragraph" w:styleId="Title">
    <w:name w:val="Title"/>
    <w:basedOn w:val="Normal"/>
    <w:next w:val="Normal"/>
    <w:link w:val="TitleChar"/>
    <w:uiPriority w:val="10"/>
    <w:qFormat/>
    <w:rsid w:val="003711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1AC"/>
    <w:pPr>
      <w:spacing w:before="160"/>
      <w:jc w:val="center"/>
    </w:pPr>
    <w:rPr>
      <w:i/>
      <w:iCs/>
      <w:color w:val="404040" w:themeColor="text1" w:themeTint="BF"/>
    </w:rPr>
  </w:style>
  <w:style w:type="character" w:customStyle="1" w:styleId="QuoteChar">
    <w:name w:val="Quote Char"/>
    <w:basedOn w:val="DefaultParagraphFont"/>
    <w:link w:val="Quote"/>
    <w:uiPriority w:val="29"/>
    <w:rsid w:val="003711AC"/>
    <w:rPr>
      <w:i/>
      <w:iCs/>
      <w:color w:val="404040" w:themeColor="text1" w:themeTint="BF"/>
    </w:rPr>
  </w:style>
  <w:style w:type="paragraph" w:styleId="ListParagraph">
    <w:name w:val="List Paragraph"/>
    <w:aliases w:val="????,????1,?????,Bullet List,Bulletr List Paragraph,Executive Summary List,FooterText,List Paragraph1,List Paragraph2,List Paragraph21,Listenabsatz,Paragrafo elenco,Paragraphe de liste1,Parágrafo da Lista1,cS List Paragraph,numbered,リスト段落"/>
    <w:basedOn w:val="Normal"/>
    <w:link w:val="ListParagraphChar"/>
    <w:uiPriority w:val="34"/>
    <w:qFormat/>
    <w:rsid w:val="003711AC"/>
    <w:pPr>
      <w:ind w:left="720"/>
      <w:contextualSpacing/>
    </w:pPr>
  </w:style>
  <w:style w:type="character" w:styleId="IntenseEmphasis">
    <w:name w:val="Intense Emphasis"/>
    <w:basedOn w:val="DefaultParagraphFont"/>
    <w:uiPriority w:val="21"/>
    <w:qFormat/>
    <w:rsid w:val="003711AC"/>
    <w:rPr>
      <w:i/>
      <w:iCs/>
      <w:color w:val="0F4761" w:themeColor="accent1" w:themeShade="BF"/>
    </w:rPr>
  </w:style>
  <w:style w:type="paragraph" w:styleId="IntenseQuote">
    <w:name w:val="Intense Quote"/>
    <w:basedOn w:val="Normal"/>
    <w:next w:val="Normal"/>
    <w:link w:val="IntenseQuoteChar"/>
    <w:uiPriority w:val="30"/>
    <w:qFormat/>
    <w:rsid w:val="00371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1AC"/>
    <w:rPr>
      <w:i/>
      <w:iCs/>
      <w:color w:val="0F4761" w:themeColor="accent1" w:themeShade="BF"/>
    </w:rPr>
  </w:style>
  <w:style w:type="character" w:styleId="IntenseReference">
    <w:name w:val="Intense Reference"/>
    <w:basedOn w:val="DefaultParagraphFont"/>
    <w:uiPriority w:val="32"/>
    <w:qFormat/>
    <w:rsid w:val="003711AC"/>
    <w:rPr>
      <w:b/>
      <w:bCs/>
      <w:smallCaps/>
      <w:color w:val="0F4761" w:themeColor="accent1" w:themeShade="BF"/>
      <w:spacing w:val="5"/>
    </w:rPr>
  </w:style>
  <w:style w:type="paragraph" w:customStyle="1" w:styleId="Default">
    <w:name w:val="Default"/>
    <w:rsid w:val="003711AC"/>
    <w:pPr>
      <w:autoSpaceDE w:val="0"/>
      <w:autoSpaceDN w:val="0"/>
      <w:adjustRightInd w:val="0"/>
      <w:spacing w:after="0" w:line="240" w:lineRule="auto"/>
    </w:pPr>
    <w:rPr>
      <w:rFonts w:ascii="Arial" w:hAnsi="Arial" w:cs="Arial"/>
      <w:color w:val="000000"/>
      <w:kern w:val="0"/>
      <w:sz w:val="24"/>
      <w:szCs w:val="24"/>
      <w:lang w:val="en-US"/>
      <w14:ligatures w14:val="none"/>
    </w:rPr>
  </w:style>
  <w:style w:type="paragraph" w:styleId="Header">
    <w:name w:val="header"/>
    <w:basedOn w:val="Normal"/>
    <w:link w:val="HeaderChar"/>
    <w:uiPriority w:val="99"/>
    <w:unhideWhenUsed/>
    <w:rsid w:val="003711AC"/>
    <w:pPr>
      <w:tabs>
        <w:tab w:val="center" w:pos="4153"/>
        <w:tab w:val="right" w:pos="8306"/>
      </w:tabs>
    </w:pPr>
  </w:style>
  <w:style w:type="character" w:customStyle="1" w:styleId="HeaderChar">
    <w:name w:val="Header Char"/>
    <w:basedOn w:val="DefaultParagraphFont"/>
    <w:link w:val="Header"/>
    <w:uiPriority w:val="99"/>
    <w:rsid w:val="003711AC"/>
    <w:rPr>
      <w:rFonts w:ascii="Times New Roman" w:eastAsia="Times New Roman" w:hAnsi="Times New Roman" w:cs="Times New Roman"/>
      <w:kern w:val="0"/>
      <w:sz w:val="24"/>
      <w:szCs w:val="24"/>
      <w14:ligatures w14:val="none"/>
    </w:rPr>
  </w:style>
  <w:style w:type="character" w:customStyle="1" w:styleId="longtext">
    <w:name w:val="long_text"/>
    <w:basedOn w:val="DefaultParagraphFont"/>
    <w:rsid w:val="003711AC"/>
  </w:style>
  <w:style w:type="paragraph" w:styleId="Footer">
    <w:name w:val="footer"/>
    <w:basedOn w:val="Normal"/>
    <w:link w:val="FooterChar"/>
    <w:uiPriority w:val="99"/>
    <w:unhideWhenUsed/>
    <w:rsid w:val="003711AC"/>
    <w:pPr>
      <w:tabs>
        <w:tab w:val="center" w:pos="4153"/>
        <w:tab w:val="right" w:pos="8306"/>
      </w:tabs>
    </w:pPr>
  </w:style>
  <w:style w:type="character" w:customStyle="1" w:styleId="FooterChar">
    <w:name w:val="Footer Char"/>
    <w:basedOn w:val="DefaultParagraphFont"/>
    <w:link w:val="Footer"/>
    <w:uiPriority w:val="99"/>
    <w:rsid w:val="003711AC"/>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F75D7"/>
    <w:rPr>
      <w:b/>
      <w:bCs/>
    </w:rPr>
  </w:style>
  <w:style w:type="character" w:styleId="Hyperlink">
    <w:name w:val="Hyperlink"/>
    <w:basedOn w:val="DefaultParagraphFont"/>
    <w:uiPriority w:val="99"/>
    <w:unhideWhenUsed/>
    <w:rsid w:val="00901C4E"/>
    <w:rPr>
      <w:color w:val="467886" w:themeColor="hyperlink"/>
      <w:u w:val="single"/>
    </w:rPr>
  </w:style>
  <w:style w:type="character" w:customStyle="1" w:styleId="ListParagraphChar">
    <w:name w:val="List Paragraph Char"/>
    <w:aliases w:val="???? Char,????1 Char,????? Char,Bullet List Char,Bulletr List Paragraph Char,Executive Summary List Char,FooterText Char,List Paragraph1 Char,List Paragraph2 Char,List Paragraph21 Char,Listenabsatz Char,Paragrafo elenco Char"/>
    <w:basedOn w:val="DefaultParagraphFont"/>
    <w:link w:val="ListParagraph"/>
    <w:uiPriority w:val="34"/>
    <w:locked/>
    <w:rsid w:val="00901C4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1195</TotalTime>
  <Pages>1</Pages>
  <Words>797</Words>
  <Characters>4548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BOC</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Louiza Psara</dc:creator>
  <cp:keywords/>
  <dc:description/>
  <cp:lastModifiedBy>Louiza Psara</cp:lastModifiedBy>
  <cp:revision>64</cp:revision>
  <dcterms:created xsi:type="dcterms:W3CDTF">2026-04-28T19:51:00Z</dcterms:created>
  <dcterms:modified xsi:type="dcterms:W3CDTF">2026-04-29T06:27:00Z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23ef0-1eab-4049-8ca8-6c7e4b49fb43_Enabled">
    <vt:lpwstr>true</vt:lpwstr>
  </property>
  <property fmtid="{D5CDD505-2E9C-101B-9397-08002B2CF9AE}" pid="3" name="MSIP_Label_ad123ef0-1eab-4049-8ca8-6c7e4b49fb43_SetDate">
    <vt:lpwstr>2026-04-28T10:52:21Z</vt:lpwstr>
  </property>
  <property fmtid="{D5CDD505-2E9C-101B-9397-08002B2CF9AE}" pid="4" name="MSIP_Label_ad123ef0-1eab-4049-8ca8-6c7e4b49fb43_Method">
    <vt:lpwstr>Privileged</vt:lpwstr>
  </property>
  <property fmtid="{D5CDD505-2E9C-101B-9397-08002B2CF9AE}" pid="5" name="MSIP_Label_ad123ef0-1eab-4049-8ca8-6c7e4b49fb43_Name">
    <vt:lpwstr>Public</vt:lpwstr>
  </property>
  <property fmtid="{D5CDD505-2E9C-101B-9397-08002B2CF9AE}" pid="6" name="MSIP_Label_ad123ef0-1eab-4049-8ca8-6c7e4b49fb43_SiteId">
    <vt:lpwstr>adc46af2-9b39-4b5e-a6e6-c2437f7c5706</vt:lpwstr>
  </property>
  <property fmtid="{D5CDD505-2E9C-101B-9397-08002B2CF9AE}" pid="7" name="MSIP_Label_ad123ef0-1eab-4049-8ca8-6c7e4b49fb43_ActionId">
    <vt:lpwstr>fd3b1983-3338-4664-a6a8-e8478479a25b</vt:lpwstr>
  </property>
  <property fmtid="{D5CDD505-2E9C-101B-9397-08002B2CF9AE}" pid="8" name="MSIP_Label_ad123ef0-1eab-4049-8ca8-6c7e4b49fb43_ContentBits">
    <vt:lpwstr>0</vt:lpwstr>
  </property>
  <property fmtid="{D5CDD505-2E9C-101B-9397-08002B2CF9AE}" pid="9" name="MSIP_Label_ad123ef0-1eab-4049-8ca8-6c7e4b49fb43_Tag">
    <vt:lpwstr>10, 0, 1, 1</vt:lpwstr>
  </property>
</Properties>
</file>